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DD" w:rsidRPr="00685CDE" w:rsidRDefault="00585557" w:rsidP="00685CDE">
      <w:pPr>
        <w:pStyle w:val="aa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C71702" wp14:editId="57CA538F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790120" cy="915746"/>
            <wp:effectExtent l="0" t="0" r="0" b="0"/>
            <wp:wrapNone/>
            <wp:docPr id="14" name="図 14" descr="\\Ky-gakkyo-bk055\指導担当\企画担当係\◆ 03 札幌らしい特色ある学校教育\☆札幌らしい…キャラクター・着ぐるみ\3chara toume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y-gakkyo-bk055\指導担当\企画担当係\◆ 03 札幌らしい特色ある学校教育\☆札幌らしい…キャラクター・着ぐるみ\3chara toumei.gif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120" cy="9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34" w:rsidRPr="00685CDE">
        <w:rPr>
          <w:rFonts w:ascii="ＭＳ ゴシック" w:eastAsia="ＭＳ ゴシック" w:hAnsi="ＭＳ ゴシック"/>
          <w:sz w:val="40"/>
          <w:szCs w:val="40"/>
        </w:rPr>
        <w:t>学習課題</w:t>
      </w:r>
      <w:r w:rsidR="00913822" w:rsidRPr="00685CDE">
        <w:rPr>
          <w:rFonts w:ascii="ＭＳ ゴシック" w:eastAsia="ＭＳ ゴシック" w:hAnsi="ＭＳ ゴシック" w:hint="eastAsia"/>
          <w:sz w:val="40"/>
          <w:szCs w:val="40"/>
        </w:rPr>
        <w:t>（</w:t>
      </w:r>
      <w:r w:rsidR="005A2234">
        <w:rPr>
          <w:rFonts w:ascii="ＭＳ ゴシック" w:eastAsia="ＭＳ ゴシック" w:hAnsi="ＭＳ ゴシック" w:hint="eastAsia"/>
          <w:sz w:val="40"/>
          <w:szCs w:val="40"/>
        </w:rPr>
        <w:t>小学校</w:t>
      </w:r>
      <w:r w:rsidR="00A6684D">
        <w:rPr>
          <w:rFonts w:ascii="ＭＳ ゴシック" w:eastAsia="ＭＳ ゴシック" w:hAnsi="ＭＳ ゴシック" w:hint="eastAsia"/>
          <w:sz w:val="40"/>
          <w:szCs w:val="40"/>
        </w:rPr>
        <w:t>１</w:t>
      </w:r>
      <w:r w:rsidR="005A2234" w:rsidRPr="00685CDE">
        <w:rPr>
          <w:rFonts w:ascii="ＭＳ ゴシック" w:eastAsia="ＭＳ ゴシック" w:hAnsi="ＭＳ ゴシック"/>
          <w:sz w:val="40"/>
          <w:szCs w:val="40"/>
        </w:rPr>
        <w:t>年生</w:t>
      </w:r>
      <w:r w:rsidR="00D77027" w:rsidRPr="00685CDE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p w:rsidR="005A2234" w:rsidRDefault="005A2234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bookmarkStart w:id="0" w:name="_GoBack"/>
      <w:bookmarkEnd w:id="0"/>
    </w:p>
    <w:p w:rsidR="004858A8" w:rsidRPr="00D32170" w:rsidRDefault="004858A8" w:rsidP="004858A8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【国語】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4858A8" w:rsidRPr="004E0D90" w:rsidTr="00DE5C8D">
        <w:tc>
          <w:tcPr>
            <w:tcW w:w="9463" w:type="dxa"/>
          </w:tcPr>
          <w:p w:rsidR="004858A8" w:rsidRPr="004E0D90" w:rsidRDefault="004858A8" w:rsidP="00DE5C8D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4858A8" w:rsidRDefault="002157F9" w:rsidP="002157F9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◆「おはなし　たのしいな(P10</w:t>
            </w:r>
            <w:r w:rsidR="0058741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～P11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)」に取り組みます。</w:t>
            </w:r>
          </w:p>
          <w:p w:rsidR="002157F9" w:rsidRPr="00910E2A" w:rsidRDefault="00CE07BF" w:rsidP="00CE07BF">
            <w:pPr>
              <w:spacing w:line="400" w:lineRule="exact"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</w:t>
            </w:r>
            <w:r w:rsidR="002157F9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自分が選んだ本や、おうちの人が選んだ本の読み聞かせを聞きます。</w:t>
            </w:r>
          </w:p>
          <w:p w:rsidR="002157F9" w:rsidRPr="00910E2A" w:rsidRDefault="00CE07BF" w:rsidP="00CE07BF">
            <w:pPr>
              <w:adjustRightInd w:val="0"/>
              <w:spacing w:line="400" w:lineRule="exact"/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</w:t>
            </w:r>
            <w:r w:rsidR="002157F9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読み聞かせを聞いて、お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家</w:t>
            </w:r>
            <w:r w:rsidR="002157F9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の人に本のおもしろかったところなど感想を伝えます。</w:t>
            </w:r>
          </w:p>
          <w:p w:rsidR="00CE07BF" w:rsidRDefault="00CE07BF" w:rsidP="00CE07BF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◆「えんぴつ　となかよし(P14</w:t>
            </w:r>
            <w:r w:rsidR="0058741E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～P12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)」に取り組みます。</w:t>
            </w:r>
          </w:p>
          <w:p w:rsidR="0058741E" w:rsidRPr="00910E2A" w:rsidRDefault="0058741E" w:rsidP="00CE07BF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①P14やP12の写真を見て、鉛筆の持ち方や正しい姿勢について知る。</w:t>
            </w:r>
          </w:p>
          <w:p w:rsidR="00CE07BF" w:rsidRPr="00CE07BF" w:rsidRDefault="0058741E" w:rsidP="00262910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②正しい姿勢や鉛筆の持ち方に気を付けて、P14～P15の線をなぞる。</w:t>
            </w:r>
          </w:p>
        </w:tc>
      </w:tr>
      <w:tr w:rsidR="004858A8" w:rsidRPr="00820734" w:rsidTr="00DE5C8D">
        <w:tc>
          <w:tcPr>
            <w:tcW w:w="9463" w:type="dxa"/>
          </w:tcPr>
          <w:p w:rsidR="004858A8" w:rsidRDefault="004858A8" w:rsidP="00DE5C8D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</w:t>
            </w:r>
            <w:r w:rsidR="007E1347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保護者による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関わり方のポイント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58741E" w:rsidRPr="00910E2A" w:rsidRDefault="0058741E" w:rsidP="0058741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・「おはなし　たのしいな」では、感想が一言で終わらないように、「おもしろかったところはどこかな。」「すきなページはどこかな。」など、お子さんに質問しながら、やりとりをするように関わります。</w:t>
            </w:r>
          </w:p>
          <w:p w:rsidR="0058741E" w:rsidRPr="00910E2A" w:rsidRDefault="0058741E" w:rsidP="0058741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・文部科学省「</w:t>
            </w:r>
            <w:r w:rsidR="00E91AEA" w:rsidRPr="00910E2A">
              <w:rPr>
                <w:rFonts w:ascii="ＭＳ 明朝" w:eastAsia="ＭＳ 明朝" w:hAnsi="ＭＳ 明朝" w:hint="eastAsia"/>
                <w:sz w:val="24"/>
                <w:szCs w:val="24"/>
              </w:rPr>
              <w:t>子供の学び応援サイト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」では、NHK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for school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が紹介されています。NHK for school「おはなしのくに」では、動画による読み聞かせを視聴することができます。</w:t>
            </w:r>
            <w:r w:rsidR="008629F8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ホームページから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お子さんに視聴したい本を選んで</w:t>
            </w:r>
            <w:r w:rsidR="008629F8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もらい、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一緒に視聴後、</w:t>
            </w:r>
            <w:r w:rsidR="00447AD3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感想を聞く学習方法も考えられます。</w:t>
            </w:r>
          </w:p>
          <w:p w:rsidR="00E91AEA" w:rsidRPr="00910E2A" w:rsidRDefault="00E91AEA" w:rsidP="0058741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（※提出シートにQRコードを掲載しております。）</w:t>
            </w:r>
          </w:p>
          <w:p w:rsidR="00447AD3" w:rsidRPr="00910E2A" w:rsidRDefault="00447AD3" w:rsidP="0058741E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・「えんぴつとなかよし」では、正しい鉛筆の持ち方と姿勢について学びます。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1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4</w:t>
            </w:r>
            <w:r w:rsidR="00C12339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を読んであげながら、お子さんの鉛筆の持ち方を確認してみてください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。また、P14、P15にQRコードが印刷されています。このQRコードを読み取ることで、</w:t>
            </w:r>
            <w:r w:rsidR="00262910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鉛筆の持ち方や正しい姿勢について動画を通して学ぶことも</w:t>
            </w:r>
            <w:r w:rsidR="008629F8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可能で</w:t>
            </w:r>
            <w:r w:rsidR="00262910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す。</w:t>
            </w:r>
          </w:p>
          <w:p w:rsidR="004858A8" w:rsidRPr="004E0D90" w:rsidRDefault="00820734" w:rsidP="00DD5562">
            <w:pPr>
              <w:spacing w:line="400" w:lineRule="exact"/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</w:t>
            </w:r>
            <w:r w:rsidR="00262910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お子さんが線をなぞ</w:t>
            </w:r>
            <w:r w:rsidR="00711D71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る前に、急がずじっくりなぞるよう声掛けをしてあげてください。お子さんが線をなぞり始めたら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、</w:t>
            </w:r>
            <w:r w:rsidR="00262910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①姿勢、②鉛筆の持ち方、③</w:t>
            </w:r>
            <w:r w:rsidR="00711D71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はみ出さずになぞることができているか</w:t>
            </w:r>
            <w:r w:rsidR="008629F8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に</w:t>
            </w:r>
            <w:r w:rsidR="00262910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注目し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て見守り</w:t>
            </w:r>
            <w:r w:rsidR="00DD5562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ます。一つでも上達してきたら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「〇〇がいいね。」と</w:t>
            </w:r>
            <w:r w:rsidR="008629F8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、お子さんの</w:t>
            </w:r>
            <w:r w:rsidR="00DD5562"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頑張りを認めてあげてください。</w:t>
            </w:r>
          </w:p>
        </w:tc>
      </w:tr>
    </w:tbl>
    <w:p w:rsidR="00C109AD" w:rsidRDefault="00C109AD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Pr="004858A8" w:rsidRDefault="00414158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14158" w:rsidRPr="004E0D90" w:rsidRDefault="00414158" w:rsidP="00414158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color w:val="000000" w:themeColor="text1"/>
          <w:sz w:val="28"/>
          <w:szCs w:val="28"/>
        </w:rPr>
        <w:lastRenderedPageBreak/>
        <w:t>【算数】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414158" w:rsidRPr="004E0D90" w:rsidTr="00F23FCB">
        <w:tc>
          <w:tcPr>
            <w:tcW w:w="9463" w:type="dxa"/>
          </w:tcPr>
          <w:p w:rsidR="00414158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＜内容＞</w:t>
            </w:r>
          </w:p>
          <w:p w:rsidR="00414158" w:rsidRPr="00B618CF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①「たりるかな</w:t>
            </w: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」（教科書</w:t>
            </w:r>
            <w:r w:rsidRPr="00B618CF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６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Pr="00B618CF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）</w:t>
            </w:r>
          </w:p>
          <w:p w:rsidR="00414158" w:rsidRPr="00910E2A" w:rsidRDefault="00414158" w:rsidP="00F23FCB">
            <w:pPr>
              <w:spacing w:line="400" w:lineRule="exact"/>
              <w:ind w:firstLineChars="200" w:firstLine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(1)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ランドセルとロッカーを線でつないでみよう。</w:t>
            </w:r>
          </w:p>
          <w:p w:rsidR="00414158" w:rsidRPr="00910E2A" w:rsidRDefault="00414158" w:rsidP="00F23FCB">
            <w:pPr>
              <w:spacing w:line="400" w:lineRule="exact"/>
              <w:ind w:firstLineChars="200" w:firstLine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(2)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うさぎとコートかけを線でつないでみよう。</w:t>
            </w:r>
          </w:p>
          <w:p w:rsidR="00414158" w:rsidRPr="00910E2A" w:rsidRDefault="00414158" w:rsidP="00F23FCB">
            <w:pPr>
              <w:spacing w:line="400" w:lineRule="exact"/>
              <w:ind w:firstLineChars="200" w:firstLine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(3)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ねずみとボールにおはじきを置いて数を比べてみよう。</w:t>
            </w:r>
          </w:p>
          <w:p w:rsidR="00414158" w:rsidRPr="00B618CF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②「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かたちをみつけよう</w:t>
            </w: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」（教科書</w:t>
            </w:r>
            <w:r w:rsidRPr="00B618CF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８</w:t>
            </w:r>
            <w: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９</w:t>
            </w:r>
            <w:r w:rsidRPr="00B618CF"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>）</w:t>
            </w:r>
          </w:p>
          <w:p w:rsidR="00414158" w:rsidRPr="00910E2A" w:rsidRDefault="00414158" w:rsidP="00F23FCB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(1)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家の中から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、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いろいろな形を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見つけよう。</w:t>
            </w:r>
          </w:p>
          <w:p w:rsidR="00414158" w:rsidRPr="00910E2A" w:rsidRDefault="00414158" w:rsidP="00F23FCB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・「まる」や「さんかく」、「しかく」はあるかな？</w:t>
            </w:r>
          </w:p>
          <w:p w:rsidR="00414158" w:rsidRPr="00910E2A" w:rsidRDefault="00414158" w:rsidP="00F23FCB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(2)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見付けた形は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どんな形なのか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、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おうちの人にお話してみよう。</w:t>
            </w:r>
          </w:p>
          <w:p w:rsidR="00414158" w:rsidRPr="00275367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　</w:t>
            </w:r>
          </w:p>
        </w:tc>
      </w:tr>
      <w:tr w:rsidR="00414158" w:rsidRPr="004E0D90" w:rsidTr="00F23FCB">
        <w:tc>
          <w:tcPr>
            <w:tcW w:w="9463" w:type="dxa"/>
          </w:tcPr>
          <w:p w:rsidR="00414158" w:rsidRPr="004E0D90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＜保護者による関わり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方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のポイント</w:t>
            </w:r>
            <w:r w:rsidRPr="004E0D90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＞</w:t>
            </w:r>
          </w:p>
          <w:p w:rsidR="00414158" w:rsidRDefault="00414158" w:rsidP="00F23FCB">
            <w:pPr>
              <w:spacing w:line="400" w:lineRule="exact"/>
              <w:ind w:left="960" w:hangingChars="400" w:hanging="96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①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「たりるかな」（教科書P６～７）</w:t>
            </w:r>
          </w:p>
          <w:p w:rsidR="00414158" w:rsidRPr="00910E2A" w:rsidRDefault="00414158" w:rsidP="00F23FCB">
            <w:pPr>
              <w:spacing w:line="400" w:lineRule="exact"/>
              <w:ind w:leftChars="100" w:left="93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(1)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(2)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→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「線でつなぐこと」は考えを書いて表現するということになります。</w:t>
            </w:r>
          </w:p>
          <w:p w:rsidR="00414158" w:rsidRPr="00910E2A" w:rsidRDefault="00414158" w:rsidP="00F23FCB">
            <w:pPr>
              <w:spacing w:line="400" w:lineRule="exact"/>
              <w:ind w:leftChars="100" w:left="93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3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)→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「おはじきを置く活動」では、絵を数に置き換えることで、比較することができるということを学習します。　</w:t>
            </w:r>
          </w:p>
          <w:p w:rsidR="00414158" w:rsidRPr="00910E2A" w:rsidRDefault="00414158" w:rsidP="00F23FCB">
            <w:pPr>
              <w:spacing w:line="400" w:lineRule="exact"/>
              <w:ind w:left="960" w:hangingChars="400" w:hanging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414158" w:rsidRDefault="00414158" w:rsidP="00F23FCB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618C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②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「かたちをみつけよう」（教科書P８～９）</w:t>
            </w:r>
          </w:p>
          <w:p w:rsidR="00414158" w:rsidRPr="00910E2A" w:rsidRDefault="00414158" w:rsidP="00F23FCB">
            <w:pPr>
              <w:spacing w:line="400" w:lineRule="exact"/>
              <w:ind w:leftChars="100" w:left="93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(1)→ 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見付けた</w:t>
            </w:r>
            <w:r w:rsidRPr="00910E2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形</w:t>
            </w: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を仲間に分けさせてみると、形の特徴等に目が向きます。</w:t>
            </w:r>
          </w:p>
          <w:p w:rsidR="00414158" w:rsidRPr="00910E2A" w:rsidRDefault="00414158" w:rsidP="00F23FCB">
            <w:pPr>
              <w:spacing w:line="400" w:lineRule="exact"/>
              <w:ind w:leftChars="100" w:left="93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(2)→ 仲間に分けた形の理由を聞いてみることが大事な学習になります。自分で形の特徴に目を向けて理由を言えたなら、褒めていただきたいと思います。この図形の見方は、秋頃に学習する「かたちあそび」につながります。</w:t>
            </w:r>
          </w:p>
          <w:p w:rsidR="00414158" w:rsidRPr="00910E2A" w:rsidRDefault="00414158" w:rsidP="00F23FCB">
            <w:pPr>
              <w:spacing w:line="400" w:lineRule="exact"/>
              <w:ind w:leftChars="100" w:left="93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414158" w:rsidRPr="00910E2A" w:rsidRDefault="00414158" w:rsidP="00F23FCB">
            <w:pPr>
              <w:spacing w:line="400" w:lineRule="exact"/>
              <w:ind w:leftChars="100" w:left="45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910E2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※何回かに分けて取り組む等、身の回りのことと、教科書の内容がつながるように関わることが大切になります。</w:t>
            </w:r>
          </w:p>
          <w:p w:rsidR="00414158" w:rsidRPr="004E0D90" w:rsidRDefault="00414158" w:rsidP="00F23FCB">
            <w:pPr>
              <w:spacing w:line="400" w:lineRule="exact"/>
              <w:ind w:left="480" w:hangingChars="200" w:hanging="48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</w:tr>
    </w:tbl>
    <w:p w:rsidR="00414158" w:rsidRDefault="00414158" w:rsidP="00414158">
      <w:pPr>
        <w:spacing w:line="400" w:lineRule="exact"/>
        <w:ind w:firstLineChars="100" w:firstLine="280"/>
        <w:rPr>
          <w:rFonts w:ascii="ＭＳ ゴシック" w:eastAsia="ＭＳ ゴシック" w:hAnsi="ＭＳ ゴシック"/>
          <w:color w:val="000000" w:themeColor="text1"/>
          <w:sz w:val="28"/>
          <w:szCs w:val="28"/>
          <w:bdr w:val="single" w:sz="4" w:space="0" w:color="auto"/>
        </w:rPr>
      </w:pPr>
    </w:p>
    <w:p w:rsidR="00597C80" w:rsidRPr="00414158" w:rsidRDefault="00597C80" w:rsidP="009A533A">
      <w:pPr>
        <w:spacing w:line="400" w:lineRule="exact"/>
        <w:ind w:firstLineChars="100" w:firstLine="280"/>
        <w:rPr>
          <w:rFonts w:ascii="ＭＳ ゴシック" w:eastAsia="ＭＳ ゴシック" w:hAnsi="ＭＳ ゴシック"/>
          <w:color w:val="000000" w:themeColor="text1"/>
          <w:sz w:val="28"/>
          <w:szCs w:val="28"/>
          <w:bdr w:val="single" w:sz="4" w:space="0" w:color="auto"/>
        </w:rPr>
      </w:pPr>
    </w:p>
    <w:sectPr w:rsidR="00597C80" w:rsidRPr="00414158" w:rsidSect="00A16B5A">
      <w:headerReference w:type="default" r:id="rId8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A60" w:rsidRDefault="00C97A60" w:rsidP="00942458">
      <w:r>
        <w:separator/>
      </w:r>
    </w:p>
  </w:endnote>
  <w:endnote w:type="continuationSeparator" w:id="0">
    <w:p w:rsidR="00C97A60" w:rsidRDefault="00C97A60" w:rsidP="0094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A60" w:rsidRDefault="00C97A60" w:rsidP="00942458">
      <w:r>
        <w:separator/>
      </w:r>
    </w:p>
  </w:footnote>
  <w:footnote w:type="continuationSeparator" w:id="0">
    <w:p w:rsidR="00C97A60" w:rsidRDefault="00C97A60" w:rsidP="00942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88" w:rsidRDefault="00332888" w:rsidP="00301D47">
    <w:pPr>
      <w:pStyle w:val="a5"/>
      <w:jc w:val="right"/>
    </w:pPr>
    <w:r>
      <w:rPr>
        <w:rFonts w:hint="eastAsia"/>
      </w:rPr>
      <w:t xml:space="preserve">　　　　　　　　　　　　　　　　　　札幌市教育委員会（小学校　</w:t>
    </w:r>
    <w:r w:rsidR="00E91AEA">
      <w:rPr>
        <w:rFonts w:hint="eastAsia"/>
      </w:rPr>
      <w:t>４</w:t>
    </w:r>
    <w:r w:rsidR="00E42286">
      <w:rPr>
        <w:rFonts w:hint="eastAsia"/>
      </w:rPr>
      <w:t>月</w:t>
    </w:r>
    <w:r w:rsidR="00E91AEA">
      <w:rPr>
        <w:rFonts w:hint="eastAsia"/>
      </w:rPr>
      <w:t>13</w:t>
    </w:r>
    <w:r>
      <w:rPr>
        <w:rFonts w:hint="eastAsia"/>
      </w:rPr>
      <w:t>日～</w:t>
    </w:r>
    <w:r w:rsidR="00E91AEA">
      <w:rPr>
        <w:rFonts w:hint="eastAsia"/>
      </w:rPr>
      <w:t>17</w:t>
    </w:r>
    <w:r>
      <w:t>日分）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0F95"/>
    <w:multiLevelType w:val="hybridMultilevel"/>
    <w:tmpl w:val="B5680F56"/>
    <w:lvl w:ilvl="0" w:tplc="9BA6DC5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8B17D8"/>
    <w:multiLevelType w:val="hybridMultilevel"/>
    <w:tmpl w:val="34A4D6F6"/>
    <w:lvl w:ilvl="0" w:tplc="F0FEF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D7EE0"/>
    <w:multiLevelType w:val="hybridMultilevel"/>
    <w:tmpl w:val="04C43B18"/>
    <w:lvl w:ilvl="0" w:tplc="97485438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0E2231"/>
    <w:multiLevelType w:val="hybridMultilevel"/>
    <w:tmpl w:val="3A54FA34"/>
    <w:lvl w:ilvl="0" w:tplc="31060D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18245086"/>
    <w:multiLevelType w:val="hybridMultilevel"/>
    <w:tmpl w:val="E02A412C"/>
    <w:lvl w:ilvl="0" w:tplc="A8A4323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8576929"/>
    <w:multiLevelType w:val="hybridMultilevel"/>
    <w:tmpl w:val="AE8A65DA"/>
    <w:lvl w:ilvl="0" w:tplc="91B6814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1AB5E87"/>
    <w:multiLevelType w:val="hybridMultilevel"/>
    <w:tmpl w:val="80BE8410"/>
    <w:lvl w:ilvl="0" w:tplc="C994D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243B67"/>
    <w:multiLevelType w:val="hybridMultilevel"/>
    <w:tmpl w:val="FB7A092A"/>
    <w:lvl w:ilvl="0" w:tplc="CD4EB89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29CA54CD"/>
    <w:multiLevelType w:val="hybridMultilevel"/>
    <w:tmpl w:val="7108C000"/>
    <w:lvl w:ilvl="0" w:tplc="E3863D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0E622D4"/>
    <w:multiLevelType w:val="hybridMultilevel"/>
    <w:tmpl w:val="3B629A08"/>
    <w:lvl w:ilvl="0" w:tplc="F762F55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EBF5BAF"/>
    <w:multiLevelType w:val="hybridMultilevel"/>
    <w:tmpl w:val="46CC78CA"/>
    <w:lvl w:ilvl="0" w:tplc="103AFB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4803814"/>
    <w:multiLevelType w:val="hybridMultilevel"/>
    <w:tmpl w:val="0A665196"/>
    <w:lvl w:ilvl="0" w:tplc="FA10C1D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44A22F8E"/>
    <w:multiLevelType w:val="hybridMultilevel"/>
    <w:tmpl w:val="44665B98"/>
    <w:lvl w:ilvl="0" w:tplc="D36A0C8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491F7516"/>
    <w:multiLevelType w:val="hybridMultilevel"/>
    <w:tmpl w:val="AF221D1C"/>
    <w:lvl w:ilvl="0" w:tplc="95184F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517E0D87"/>
    <w:multiLevelType w:val="hybridMultilevel"/>
    <w:tmpl w:val="0C38412C"/>
    <w:lvl w:ilvl="0" w:tplc="4B402D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4FF4E5B"/>
    <w:multiLevelType w:val="hybridMultilevel"/>
    <w:tmpl w:val="0ADAD254"/>
    <w:lvl w:ilvl="0" w:tplc="0B1C9B0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6" w15:restartNumberingAfterBreak="0">
    <w:nsid w:val="684F651F"/>
    <w:multiLevelType w:val="hybridMultilevel"/>
    <w:tmpl w:val="2B7CB724"/>
    <w:lvl w:ilvl="0" w:tplc="78DAD610">
      <w:start w:val="1"/>
      <w:numFmt w:val="decimalEnclosedCircle"/>
      <w:lvlText w:val="%1"/>
      <w:lvlJc w:val="left"/>
      <w:pPr>
        <w:ind w:left="60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7" w15:restartNumberingAfterBreak="0">
    <w:nsid w:val="7BE838E8"/>
    <w:multiLevelType w:val="hybridMultilevel"/>
    <w:tmpl w:val="A69650BE"/>
    <w:lvl w:ilvl="0" w:tplc="137838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15"/>
  </w:num>
  <w:num w:numId="10">
    <w:abstractNumId w:val="11"/>
  </w:num>
  <w:num w:numId="11">
    <w:abstractNumId w:val="16"/>
  </w:num>
  <w:num w:numId="12">
    <w:abstractNumId w:val="7"/>
  </w:num>
  <w:num w:numId="13">
    <w:abstractNumId w:val="14"/>
  </w:num>
  <w:num w:numId="14">
    <w:abstractNumId w:val="6"/>
  </w:num>
  <w:num w:numId="15">
    <w:abstractNumId w:val="9"/>
  </w:num>
  <w:num w:numId="16">
    <w:abstractNumId w:val="1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0"/>
    <w:rsid w:val="0002513A"/>
    <w:rsid w:val="00081FB5"/>
    <w:rsid w:val="00097419"/>
    <w:rsid w:val="000A002B"/>
    <w:rsid w:val="000F4848"/>
    <w:rsid w:val="00104E49"/>
    <w:rsid w:val="00106ED9"/>
    <w:rsid w:val="00126428"/>
    <w:rsid w:val="00143EF4"/>
    <w:rsid w:val="00177BC4"/>
    <w:rsid w:val="001A3B87"/>
    <w:rsid w:val="001B1F18"/>
    <w:rsid w:val="001D55EE"/>
    <w:rsid w:val="001E238F"/>
    <w:rsid w:val="0020039A"/>
    <w:rsid w:val="00200BF0"/>
    <w:rsid w:val="002157F9"/>
    <w:rsid w:val="002210DA"/>
    <w:rsid w:val="00262910"/>
    <w:rsid w:val="002723F2"/>
    <w:rsid w:val="002A7965"/>
    <w:rsid w:val="002B0F35"/>
    <w:rsid w:val="00301D47"/>
    <w:rsid w:val="00324585"/>
    <w:rsid w:val="00332888"/>
    <w:rsid w:val="00341697"/>
    <w:rsid w:val="00383A2C"/>
    <w:rsid w:val="00390AD9"/>
    <w:rsid w:val="00414158"/>
    <w:rsid w:val="00447AD3"/>
    <w:rsid w:val="00450D5F"/>
    <w:rsid w:val="00476A5F"/>
    <w:rsid w:val="004858A8"/>
    <w:rsid w:val="004B1486"/>
    <w:rsid w:val="004B39D5"/>
    <w:rsid w:val="004E0D90"/>
    <w:rsid w:val="00530DAD"/>
    <w:rsid w:val="00544E18"/>
    <w:rsid w:val="00551C50"/>
    <w:rsid w:val="00566C96"/>
    <w:rsid w:val="0058195F"/>
    <w:rsid w:val="00582566"/>
    <w:rsid w:val="00585557"/>
    <w:rsid w:val="0058741E"/>
    <w:rsid w:val="00597C80"/>
    <w:rsid w:val="005A089D"/>
    <w:rsid w:val="005A2234"/>
    <w:rsid w:val="005F1D29"/>
    <w:rsid w:val="00621A96"/>
    <w:rsid w:val="0062673E"/>
    <w:rsid w:val="00655F18"/>
    <w:rsid w:val="00660629"/>
    <w:rsid w:val="00675339"/>
    <w:rsid w:val="00676460"/>
    <w:rsid w:val="0067786A"/>
    <w:rsid w:val="00685CDE"/>
    <w:rsid w:val="00696575"/>
    <w:rsid w:val="006B7B0B"/>
    <w:rsid w:val="006C02EC"/>
    <w:rsid w:val="006F764C"/>
    <w:rsid w:val="00711A88"/>
    <w:rsid w:val="00711D71"/>
    <w:rsid w:val="0074656F"/>
    <w:rsid w:val="007650BD"/>
    <w:rsid w:val="007A670C"/>
    <w:rsid w:val="007B224D"/>
    <w:rsid w:val="007B434A"/>
    <w:rsid w:val="007C14A4"/>
    <w:rsid w:val="007E1347"/>
    <w:rsid w:val="008076FD"/>
    <w:rsid w:val="00820734"/>
    <w:rsid w:val="00820FC7"/>
    <w:rsid w:val="00826972"/>
    <w:rsid w:val="008629F8"/>
    <w:rsid w:val="008C1639"/>
    <w:rsid w:val="008E5203"/>
    <w:rsid w:val="00910E2A"/>
    <w:rsid w:val="00913822"/>
    <w:rsid w:val="0092788C"/>
    <w:rsid w:val="00942458"/>
    <w:rsid w:val="00946AEB"/>
    <w:rsid w:val="009635BC"/>
    <w:rsid w:val="009737F0"/>
    <w:rsid w:val="009A533A"/>
    <w:rsid w:val="009D4390"/>
    <w:rsid w:val="00A16B5A"/>
    <w:rsid w:val="00A16EE0"/>
    <w:rsid w:val="00A243B3"/>
    <w:rsid w:val="00A3452E"/>
    <w:rsid w:val="00A43183"/>
    <w:rsid w:val="00A53C11"/>
    <w:rsid w:val="00A64ACA"/>
    <w:rsid w:val="00A6684D"/>
    <w:rsid w:val="00A71135"/>
    <w:rsid w:val="00AA2FC1"/>
    <w:rsid w:val="00B04A67"/>
    <w:rsid w:val="00B6674E"/>
    <w:rsid w:val="00B66A8F"/>
    <w:rsid w:val="00B83E86"/>
    <w:rsid w:val="00BA047D"/>
    <w:rsid w:val="00BB21DD"/>
    <w:rsid w:val="00BD7EF6"/>
    <w:rsid w:val="00C109AD"/>
    <w:rsid w:val="00C12339"/>
    <w:rsid w:val="00C12AD5"/>
    <w:rsid w:val="00C4155A"/>
    <w:rsid w:val="00C97A60"/>
    <w:rsid w:val="00CB109A"/>
    <w:rsid w:val="00CC49C9"/>
    <w:rsid w:val="00CE07BF"/>
    <w:rsid w:val="00CE3998"/>
    <w:rsid w:val="00D32170"/>
    <w:rsid w:val="00D32AFD"/>
    <w:rsid w:val="00D54532"/>
    <w:rsid w:val="00D77027"/>
    <w:rsid w:val="00DB42E8"/>
    <w:rsid w:val="00DD5562"/>
    <w:rsid w:val="00DE43E7"/>
    <w:rsid w:val="00E1688D"/>
    <w:rsid w:val="00E22E4F"/>
    <w:rsid w:val="00E42286"/>
    <w:rsid w:val="00E51E35"/>
    <w:rsid w:val="00E6090E"/>
    <w:rsid w:val="00E91AEA"/>
    <w:rsid w:val="00ED0086"/>
    <w:rsid w:val="00F04598"/>
    <w:rsid w:val="00F06860"/>
    <w:rsid w:val="00F47390"/>
    <w:rsid w:val="00F51722"/>
    <w:rsid w:val="00FA14F7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EBAB7D-95BE-4144-ADFA-325F46CD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C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458"/>
  </w:style>
  <w:style w:type="paragraph" w:styleId="a7">
    <w:name w:val="footer"/>
    <w:basedOn w:val="a"/>
    <w:link w:val="a8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458"/>
  </w:style>
  <w:style w:type="table" w:styleId="a9">
    <w:name w:val="Table Grid"/>
    <w:basedOn w:val="a1"/>
    <w:uiPriority w:val="39"/>
    <w:rsid w:val="00B6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85C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gif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